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7620" b="0"/>
            <wp:docPr id="2" name="图片 2"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徽镂空-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课程指南</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《卫生法学》</w:t>
      </w:r>
    </w:p>
    <w:p>
      <w:pPr>
        <w:jc w:val="center"/>
        <w:rPr>
          <w:sz w:val="30"/>
        </w:rPr>
      </w:pPr>
      <w:r>
        <w:rPr>
          <w:rFonts w:hint="eastAsia" w:ascii="华文新魏" w:hAnsi="仿宋" w:eastAsia="华文新魏"/>
          <w:b/>
          <w:sz w:val="30"/>
          <w:szCs w:val="30"/>
        </w:rPr>
        <w:t>供临床医学（5+3一体化、5+3一体化儿科）、基础医学（朱宪彝班）专业学生使用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二零二四年</w:t>
      </w:r>
    </w:p>
    <w:p>
      <w:pPr>
        <w:spacing w:line="360" w:lineRule="auto"/>
        <w:jc w:val="center"/>
        <w:rPr>
          <w:rFonts w:ascii="宋体" w:hAnsi="宋体"/>
          <w:b/>
          <w:sz w:val="28"/>
          <w:u w:val="single"/>
        </w:rPr>
        <w:sectPr>
          <w:headerReference r:id="rId5" w:type="first"/>
          <w:headerReference r:id="rId3" w:type="default"/>
          <w:footerReference r:id="rId6" w:type="default"/>
          <w:headerReference r:id="rId4" w:type="even"/>
          <w:footerReference r:id="rId7" w:type="even"/>
          <w:pgSz w:w="11906" w:h="16838"/>
          <w:pgMar w:top="1440" w:right="1800" w:bottom="1440" w:left="1797" w:header="851" w:footer="992" w:gutter="0"/>
          <w:cols w:space="425" w:num="1"/>
          <w:titlePg/>
          <w:docGrid w:type="lines" w:linePitch="312" w:charSpace="0"/>
        </w:sectPr>
      </w:pPr>
    </w:p>
    <w:p>
      <w:pPr>
        <w:spacing w:line="360" w:lineRule="auto"/>
        <w:jc w:val="center"/>
        <w:rPr>
          <w:b/>
          <w:sz w:val="28"/>
        </w:rPr>
      </w:pPr>
      <w:r>
        <w:rPr>
          <w:rFonts w:hint="eastAsia" w:ascii="宋体" w:hAnsi="宋体"/>
          <w:b/>
          <w:sz w:val="28"/>
          <w:u w:val="single"/>
          <w:lang w:val="en-US" w:eastAsia="zh-CN"/>
        </w:rPr>
        <w:t xml:space="preserve"> </w:t>
      </w:r>
      <w:bookmarkStart w:id="0" w:name="_GoBack"/>
      <w:bookmarkEnd w:id="0"/>
      <w:r>
        <w:rPr>
          <w:rFonts w:hint="eastAsia" w:ascii="宋体" w:hAnsi="宋体"/>
          <w:b/>
          <w:sz w:val="28"/>
          <w:u w:val="single"/>
        </w:rPr>
        <w:t xml:space="preserve">卫生法学 </w:t>
      </w:r>
      <w:r>
        <w:rPr>
          <w:rFonts w:hint="eastAsia"/>
          <w:b/>
          <w:sz w:val="28"/>
        </w:rPr>
        <w:t>课 程 指 南</w:t>
      </w:r>
    </w:p>
    <w:p>
      <w:pPr>
        <w:spacing w:line="360" w:lineRule="auto"/>
        <w:jc w:val="center"/>
        <w:rPr>
          <w:b/>
          <w:sz w:val="28"/>
        </w:rPr>
      </w:pPr>
    </w:p>
    <w:p>
      <w:pPr>
        <w:spacing w:line="360" w:lineRule="auto"/>
        <w:ind w:firstLine="422" w:firstLineChars="200"/>
        <w:rPr>
          <w:b/>
          <w:szCs w:val="21"/>
        </w:rPr>
      </w:pPr>
      <w:r>
        <w:rPr>
          <w:rFonts w:hint="eastAsia"/>
          <w:b/>
          <w:szCs w:val="21"/>
        </w:rPr>
        <w:t>一、课程名称 课程编号：</w:t>
      </w:r>
      <w:r>
        <w:rPr>
          <w:rFonts w:hint="eastAsia"/>
          <w:bCs/>
          <w:szCs w:val="21"/>
        </w:rPr>
        <w:t xml:space="preserve">Z1909005002 </w:t>
      </w:r>
      <w:r>
        <w:rPr>
          <w:rFonts w:hint="eastAsia"/>
          <w:b/>
          <w:szCs w:val="21"/>
        </w:rPr>
        <w:t>中文：</w:t>
      </w:r>
      <w:r>
        <w:rPr>
          <w:rFonts w:hint="eastAsia"/>
          <w:bCs/>
          <w:szCs w:val="21"/>
        </w:rPr>
        <w:t>卫生法学</w:t>
      </w:r>
      <w:r>
        <w:rPr>
          <w:rFonts w:hint="eastAsia"/>
          <w:b/>
          <w:szCs w:val="21"/>
        </w:rPr>
        <w:t xml:space="preserve"> 英文：</w:t>
      </w:r>
      <w:r>
        <w:rPr>
          <w:bCs/>
          <w:szCs w:val="21"/>
        </w:rPr>
        <w:t xml:space="preserve">Scienceof </w:t>
      </w:r>
      <w:r>
        <w:rPr>
          <w:rFonts w:hint="eastAsia"/>
          <w:bCs/>
          <w:szCs w:val="21"/>
        </w:rPr>
        <w:t>H</w:t>
      </w:r>
      <w:r>
        <w:rPr>
          <w:bCs/>
          <w:szCs w:val="21"/>
        </w:rPr>
        <w:t xml:space="preserve">ealth </w:t>
      </w:r>
      <w:r>
        <w:rPr>
          <w:rFonts w:hint="eastAsia"/>
          <w:bCs/>
          <w:szCs w:val="21"/>
        </w:rPr>
        <w:t>L</w:t>
      </w:r>
      <w:r>
        <w:rPr>
          <w:bCs/>
          <w:szCs w:val="21"/>
        </w:rPr>
        <w:t>aw</w:t>
      </w:r>
    </w:p>
    <w:p>
      <w:pPr>
        <w:spacing w:line="360" w:lineRule="auto"/>
        <w:ind w:firstLine="422" w:firstLineChars="200"/>
        <w:rPr>
          <w:color w:val="0D0D0D"/>
          <w:szCs w:val="21"/>
        </w:rPr>
      </w:pPr>
      <w:r>
        <w:rPr>
          <w:rFonts w:hint="eastAsia"/>
          <w:b/>
          <w:color w:val="0D0D0D"/>
          <w:szCs w:val="21"/>
        </w:rPr>
        <w:t>二、开课学院（系）、</w:t>
      </w:r>
      <w:r>
        <w:rPr>
          <w:rFonts w:hint="eastAsia"/>
          <w:b/>
          <w:color w:val="0D0D0D"/>
        </w:rPr>
        <w:t>系（教研室）：</w:t>
      </w:r>
      <w:r>
        <w:rPr>
          <w:rFonts w:hint="eastAsia"/>
          <w:color w:val="0D0D0D"/>
          <w:szCs w:val="21"/>
        </w:rPr>
        <w:t>医学人文学院医学伦理与法学系医学法学教研室</w:t>
      </w:r>
    </w:p>
    <w:p>
      <w:pPr>
        <w:spacing w:line="360" w:lineRule="auto"/>
        <w:ind w:firstLine="422" w:firstLineChars="200"/>
        <w:rPr>
          <w:b/>
          <w:color w:val="0D0D0D"/>
        </w:rPr>
      </w:pPr>
      <w:r>
        <w:rPr>
          <w:rFonts w:hint="eastAsia"/>
          <w:b/>
          <w:color w:val="0D0D0D"/>
          <w:szCs w:val="21"/>
        </w:rPr>
        <w:t>三、学时学分：</w:t>
      </w:r>
      <w:r>
        <w:rPr>
          <w:rFonts w:hint="eastAsia"/>
          <w:b/>
          <w:color w:val="0D0D0D"/>
        </w:rPr>
        <w:t>学分：1；总学时：16；理论学时：16；实验或实践学时：0；自主学习学时：0</w:t>
      </w:r>
    </w:p>
    <w:p>
      <w:pPr>
        <w:spacing w:line="360" w:lineRule="auto"/>
        <w:ind w:firstLine="422" w:firstLineChars="200"/>
        <w:rPr>
          <w:rFonts w:hint="eastAsia" w:eastAsia="宋体"/>
          <w:szCs w:val="21"/>
          <w:lang w:val="en-US" w:eastAsia="zh-CN"/>
        </w:rPr>
      </w:pPr>
      <w:r>
        <w:rPr>
          <w:rFonts w:hint="eastAsia"/>
          <w:b/>
          <w:szCs w:val="21"/>
        </w:rPr>
        <w:t>四、课程对象：</w:t>
      </w:r>
      <w:r>
        <w:rPr>
          <w:rFonts w:hint="eastAsia"/>
          <w:b/>
          <w:bCs/>
          <w:szCs w:val="21"/>
        </w:rPr>
        <w:t>临床医学（5+3一体化、5+3一体化儿科）、基础医学（朱宪彝班）</w:t>
      </w:r>
    </w:p>
    <w:p>
      <w:pPr>
        <w:spacing w:line="360" w:lineRule="auto"/>
        <w:ind w:firstLine="422" w:firstLineChars="200"/>
        <w:rPr>
          <w:b/>
          <w:szCs w:val="21"/>
        </w:rPr>
      </w:pPr>
      <w:r>
        <w:rPr>
          <w:rFonts w:hint="eastAsia"/>
          <w:b/>
          <w:szCs w:val="21"/>
        </w:rPr>
        <w:t>五、课程基本内容简介</w:t>
      </w:r>
    </w:p>
    <w:p>
      <w:pPr>
        <w:spacing w:line="360" w:lineRule="auto"/>
        <w:ind w:firstLine="420" w:firstLineChars="200"/>
        <w:rPr>
          <w:szCs w:val="21"/>
        </w:rPr>
      </w:pPr>
      <w:r>
        <w:rPr>
          <w:rFonts w:hint="eastAsia"/>
          <w:szCs w:val="21"/>
        </w:rPr>
        <w:t>卫生法学是随着我国法治建设的加强而发展起来的一门新兴交叉学科。人类医学模式的转变，使医药自然科学与社会科学的结合日益紧密，随着社会法治化进程的加快，医疗卫生领域迫切需要强化依法行政、依法管理和依法执业，这就要求该领域工作人员除掌握医学知识外，更需具备基础的法学尤其是医疗卫生法学的知识背景。卫生法学已经成为医学教育课程体系的重要组成部分。</w:t>
      </w:r>
    </w:p>
    <w:p>
      <w:pPr>
        <w:spacing w:line="360" w:lineRule="auto"/>
        <w:ind w:firstLine="420" w:firstLineChars="200"/>
        <w:rPr>
          <w:b/>
          <w:szCs w:val="21"/>
        </w:rPr>
      </w:pPr>
      <w:r>
        <w:rPr>
          <w:rFonts w:hint="eastAsia"/>
          <w:szCs w:val="21"/>
        </w:rPr>
        <w:t>本课程主要内容包括卫生法学概论、医患关系法律制度及患者的权利义务、医疗执业资格与执业义务、医疗执业规则、医疗文书的法律问题、医疗技术临床准入、医疗事故技术鉴定、医疗损害责任及医疗纠纷的解决、医疗执业行政法律责任与医事刑事法律责任。</w:t>
      </w:r>
    </w:p>
    <w:p>
      <w:pPr>
        <w:spacing w:line="360" w:lineRule="auto"/>
        <w:ind w:firstLine="422" w:firstLineChars="200"/>
        <w:rPr>
          <w:b/>
          <w:color w:val="0D0D0D"/>
          <w:szCs w:val="21"/>
        </w:rPr>
      </w:pPr>
      <w:r>
        <w:rPr>
          <w:rFonts w:hint="eastAsia"/>
          <w:b/>
          <w:szCs w:val="21"/>
        </w:rPr>
        <w:t>六、</w:t>
      </w:r>
      <w:r>
        <w:rPr>
          <w:rFonts w:hint="eastAsia"/>
          <w:b/>
          <w:color w:val="0D0D0D"/>
        </w:rPr>
        <w:t>教学目标</w:t>
      </w:r>
    </w:p>
    <w:p>
      <w:pPr>
        <w:spacing w:line="360" w:lineRule="auto"/>
        <w:ind w:firstLine="422" w:firstLineChars="200"/>
        <w:rPr>
          <w:szCs w:val="21"/>
        </w:rPr>
      </w:pPr>
      <w:r>
        <w:rPr>
          <w:rFonts w:hint="eastAsia"/>
          <w:b/>
          <w:color w:val="0D0D0D"/>
          <w:szCs w:val="21"/>
        </w:rPr>
        <w:t>1. 知识学习目标：</w:t>
      </w:r>
      <w:r>
        <w:rPr>
          <w:rFonts w:hint="eastAsia"/>
          <w:szCs w:val="21"/>
        </w:rPr>
        <w:t>使学生了解与医药卫生有关的法律制度，熟悉我国医疗执业规则及医疗行为基本法律制度，明确未来医疗执业中享有的权利和义务，正确履行岗位职责。</w:t>
      </w:r>
    </w:p>
    <w:p>
      <w:pPr>
        <w:spacing w:line="360" w:lineRule="auto"/>
        <w:ind w:firstLine="422" w:firstLineChars="200"/>
        <w:rPr>
          <w:b/>
          <w:color w:val="0D0D0D"/>
          <w:szCs w:val="21"/>
        </w:rPr>
      </w:pPr>
      <w:r>
        <w:rPr>
          <w:rFonts w:hint="eastAsia"/>
          <w:b/>
          <w:color w:val="0D0D0D"/>
          <w:szCs w:val="21"/>
        </w:rPr>
        <w:t xml:space="preserve">2. 技能学习目标： </w:t>
      </w:r>
      <w:r>
        <w:rPr>
          <w:rFonts w:hint="eastAsia"/>
          <w:szCs w:val="21"/>
        </w:rPr>
        <w:t>培养临床医学专业学生的法律意识和素养，</w:t>
      </w:r>
      <w:r>
        <w:rPr>
          <w:rFonts w:hint="eastAsia"/>
          <w:bCs/>
          <w:color w:val="0D0D0D"/>
          <w:szCs w:val="21"/>
        </w:rPr>
        <w:t xml:space="preserve"> 深入理解与医疗执业相关的国家医事法律法规，</w:t>
      </w:r>
      <w:r>
        <w:rPr>
          <w:rFonts w:hint="eastAsia"/>
          <w:bCs/>
          <w:szCs w:val="21"/>
        </w:rPr>
        <w:t>增强社会主义法治观念，依法行医，学会运</w:t>
      </w:r>
      <w:r>
        <w:rPr>
          <w:rFonts w:hint="eastAsia"/>
          <w:szCs w:val="21"/>
        </w:rPr>
        <w:t>用法律武器维护自身和患者合法权益。</w:t>
      </w:r>
    </w:p>
    <w:p>
      <w:pPr>
        <w:spacing w:line="360" w:lineRule="auto"/>
        <w:ind w:firstLine="422" w:firstLineChars="200"/>
        <w:rPr>
          <w:b/>
          <w:color w:val="0D0D0D"/>
          <w:szCs w:val="21"/>
        </w:rPr>
      </w:pPr>
      <w:r>
        <w:rPr>
          <w:rFonts w:hint="eastAsia"/>
          <w:b/>
          <w:color w:val="0D0D0D"/>
          <w:szCs w:val="21"/>
        </w:rPr>
        <w:t>3. 思政目标</w:t>
      </w:r>
    </w:p>
    <w:p>
      <w:pPr>
        <w:spacing w:line="360" w:lineRule="auto"/>
        <w:ind w:firstLine="420" w:firstLineChars="200"/>
        <w:rPr>
          <w:b/>
          <w:color w:val="0D0D0D"/>
          <w:szCs w:val="21"/>
        </w:rPr>
      </w:pPr>
      <w:r>
        <w:rPr>
          <w:rFonts w:hint="eastAsia"/>
          <w:bCs/>
          <w:color w:val="0D0D0D"/>
          <w:szCs w:val="21"/>
        </w:rPr>
        <w:t>树立生命至上，以患者中心的人文精神，强化依法依规执业，遵守职业道德的意识；增强爱岗敬业的理想信念和使命担当。</w:t>
      </w:r>
    </w:p>
    <w:tbl>
      <w:tblPr>
        <w:tblStyle w:val="5"/>
        <w:tblW w:w="9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143"/>
        <w:gridCol w:w="1895"/>
        <w:gridCol w:w="3261"/>
        <w:gridCol w:w="2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spacing w:line="288" w:lineRule="auto"/>
              <w:jc w:val="center"/>
              <w:rPr>
                <w:b/>
                <w:color w:val="0D0D0D"/>
              </w:rPr>
            </w:pPr>
            <w:r>
              <w:rPr>
                <w:rFonts w:hint="eastAsia"/>
                <w:b/>
                <w:color w:val="0D0D0D"/>
              </w:rPr>
              <w:t>序号</w:t>
            </w:r>
          </w:p>
        </w:tc>
        <w:tc>
          <w:tcPr>
            <w:tcW w:w="1143" w:type="dxa"/>
            <w:noWrap/>
            <w:vAlign w:val="center"/>
          </w:tcPr>
          <w:p>
            <w:pPr>
              <w:spacing w:line="288" w:lineRule="auto"/>
              <w:jc w:val="center"/>
              <w:rPr>
                <w:b/>
                <w:color w:val="0D0D0D"/>
              </w:rPr>
            </w:pPr>
            <w:r>
              <w:rPr>
                <w:rFonts w:hint="eastAsia"/>
                <w:b/>
                <w:color w:val="0D0D0D"/>
              </w:rPr>
              <w:t>融入章节</w:t>
            </w:r>
          </w:p>
        </w:tc>
        <w:tc>
          <w:tcPr>
            <w:tcW w:w="1895" w:type="dxa"/>
            <w:noWrap/>
            <w:vAlign w:val="center"/>
          </w:tcPr>
          <w:p>
            <w:pPr>
              <w:spacing w:line="288" w:lineRule="auto"/>
              <w:jc w:val="center"/>
              <w:rPr>
                <w:b/>
                <w:color w:val="0D0D0D"/>
              </w:rPr>
            </w:pPr>
            <w:r>
              <w:rPr>
                <w:rFonts w:hint="eastAsia"/>
                <w:b/>
                <w:color w:val="0D0D0D"/>
              </w:rPr>
              <w:t>融入专业知识点</w:t>
            </w:r>
          </w:p>
        </w:tc>
        <w:tc>
          <w:tcPr>
            <w:tcW w:w="3261" w:type="dxa"/>
            <w:noWrap/>
            <w:vAlign w:val="center"/>
          </w:tcPr>
          <w:p>
            <w:pPr>
              <w:spacing w:line="288" w:lineRule="auto"/>
              <w:jc w:val="center"/>
              <w:rPr>
                <w:b/>
                <w:color w:val="0D0D0D"/>
              </w:rPr>
            </w:pPr>
            <w:r>
              <w:rPr>
                <w:rFonts w:hint="eastAsia"/>
                <w:b/>
                <w:color w:val="0D0D0D"/>
              </w:rPr>
              <w:t>思政元素点</w:t>
            </w:r>
          </w:p>
        </w:tc>
        <w:tc>
          <w:tcPr>
            <w:tcW w:w="2915" w:type="dxa"/>
            <w:noWrap/>
            <w:vAlign w:val="center"/>
          </w:tcPr>
          <w:p>
            <w:pPr>
              <w:spacing w:line="288" w:lineRule="auto"/>
              <w:jc w:val="center"/>
              <w:rPr>
                <w:b/>
                <w:color w:val="0D0D0D"/>
              </w:rPr>
            </w:pPr>
            <w:r>
              <w:rPr>
                <w:rFonts w:hint="eastAsia"/>
                <w:b/>
                <w:color w:val="0D0D0D"/>
              </w:rPr>
              <w:t>思政目标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spacing w:line="288" w:lineRule="auto"/>
              <w:jc w:val="center"/>
              <w:rPr>
                <w:b/>
                <w:bCs/>
                <w:color w:val="0D0D0D"/>
                <w:szCs w:val="21"/>
              </w:rPr>
            </w:pPr>
            <w:r>
              <w:rPr>
                <w:rFonts w:hint="eastAsia"/>
                <w:b/>
                <w:bCs/>
                <w:color w:val="0D0D0D"/>
                <w:szCs w:val="21"/>
              </w:rPr>
              <w:t>1</w:t>
            </w:r>
          </w:p>
        </w:tc>
        <w:tc>
          <w:tcPr>
            <w:tcW w:w="1143" w:type="dxa"/>
            <w:noWrap/>
            <w:vAlign w:val="center"/>
          </w:tcPr>
          <w:p>
            <w:pPr>
              <w:spacing w:line="288" w:lineRule="auto"/>
              <w:rPr>
                <w:color w:val="0D0D0D"/>
                <w:szCs w:val="21"/>
              </w:rPr>
            </w:pPr>
            <w:r>
              <w:rPr>
                <w:rFonts w:hint="eastAsia"/>
                <w:color w:val="0D0D0D"/>
                <w:szCs w:val="21"/>
              </w:rPr>
              <w:t>第一章第一至三节</w:t>
            </w:r>
          </w:p>
        </w:tc>
        <w:tc>
          <w:tcPr>
            <w:tcW w:w="1895" w:type="dxa"/>
            <w:noWrap/>
            <w:vAlign w:val="center"/>
          </w:tcPr>
          <w:p>
            <w:pPr>
              <w:spacing w:line="288" w:lineRule="auto"/>
              <w:rPr>
                <w:color w:val="0D0D0D"/>
                <w:szCs w:val="21"/>
              </w:rPr>
            </w:pPr>
            <w:r>
              <w:rPr>
                <w:rFonts w:hint="eastAsia"/>
                <w:color w:val="0D0D0D"/>
                <w:szCs w:val="21"/>
              </w:rPr>
              <w:t>卫生法概念</w:t>
            </w:r>
          </w:p>
          <w:p>
            <w:pPr>
              <w:spacing w:line="288" w:lineRule="auto"/>
              <w:rPr>
                <w:color w:val="0D0D0D"/>
                <w:szCs w:val="21"/>
              </w:rPr>
            </w:pPr>
            <w:r>
              <w:rPr>
                <w:rFonts w:hint="eastAsia"/>
                <w:color w:val="0D0D0D"/>
                <w:szCs w:val="21"/>
              </w:rPr>
              <w:t>卫生法的调整对象</w:t>
            </w:r>
          </w:p>
          <w:p>
            <w:pPr>
              <w:spacing w:line="288" w:lineRule="auto"/>
              <w:rPr>
                <w:color w:val="0D0D0D"/>
                <w:szCs w:val="21"/>
              </w:rPr>
            </w:pPr>
            <w:r>
              <w:rPr>
                <w:rFonts w:hint="eastAsia"/>
                <w:color w:val="0D0D0D"/>
                <w:szCs w:val="21"/>
              </w:rPr>
              <w:t>卫生法的基本原则</w:t>
            </w:r>
          </w:p>
        </w:tc>
        <w:tc>
          <w:tcPr>
            <w:tcW w:w="3261" w:type="dxa"/>
            <w:noWrap/>
            <w:vAlign w:val="center"/>
          </w:tcPr>
          <w:p>
            <w:pPr>
              <w:spacing w:line="288" w:lineRule="auto"/>
              <w:rPr>
                <w:b w:val="0"/>
                <w:bCs w:val="0"/>
                <w:color w:val="0D0D0D"/>
                <w:szCs w:val="21"/>
              </w:rPr>
            </w:pPr>
            <w:r>
              <w:rPr>
                <w:rFonts w:hint="eastAsia"/>
                <w:b w:val="0"/>
                <w:bCs w:val="0"/>
                <w:color w:val="0D0D0D"/>
                <w:szCs w:val="21"/>
              </w:rPr>
              <w:t>习近平法治思想、习近平总书记对卫生法治的论述和观点</w:t>
            </w:r>
          </w:p>
          <w:p>
            <w:pPr>
              <w:spacing w:line="288" w:lineRule="auto"/>
              <w:rPr>
                <w:b w:val="0"/>
                <w:bCs w:val="0"/>
                <w:color w:val="0D0D0D"/>
                <w:szCs w:val="21"/>
              </w:rPr>
            </w:pPr>
            <w:r>
              <w:rPr>
                <w:rFonts w:hint="eastAsia"/>
                <w:b w:val="0"/>
                <w:bCs w:val="0"/>
              </w:rPr>
              <w:t>“健康中国”国家战略，二十大报告关于推进健康中国建设的精神</w:t>
            </w:r>
          </w:p>
        </w:tc>
        <w:tc>
          <w:tcPr>
            <w:tcW w:w="2915" w:type="dxa"/>
            <w:noWrap/>
            <w:vAlign w:val="center"/>
          </w:tcPr>
          <w:p>
            <w:pPr>
              <w:spacing w:line="288" w:lineRule="auto"/>
              <w:rPr>
                <w:b w:val="0"/>
                <w:bCs w:val="0"/>
                <w:color w:val="0D0D0D"/>
                <w:szCs w:val="21"/>
              </w:rPr>
            </w:pPr>
            <w:r>
              <w:rPr>
                <w:rFonts w:hint="eastAsia"/>
                <w:b w:val="0"/>
                <w:bCs w:val="0"/>
                <w:color w:val="0D0D0D"/>
                <w:szCs w:val="21"/>
              </w:rPr>
              <w:t>了解习近平对卫生法治的论述，</w:t>
            </w:r>
            <w:r>
              <w:rPr>
                <w:rFonts w:hint="eastAsia"/>
                <w:b w:val="0"/>
                <w:bCs w:val="0"/>
              </w:rPr>
              <w:t>领会二十大报告精神，结合卫生法的基本原则的学习，正确理解坚持以人民为中心的发展思想。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spacing w:line="288" w:lineRule="auto"/>
              <w:jc w:val="center"/>
              <w:rPr>
                <w:b/>
                <w:bCs/>
                <w:color w:val="0D0D0D"/>
                <w:szCs w:val="21"/>
              </w:rPr>
            </w:pPr>
            <w:r>
              <w:rPr>
                <w:rFonts w:hint="eastAsia"/>
                <w:b/>
                <w:bCs/>
                <w:color w:val="0D0D0D"/>
                <w:szCs w:val="21"/>
              </w:rPr>
              <w:t>2</w:t>
            </w:r>
          </w:p>
        </w:tc>
        <w:tc>
          <w:tcPr>
            <w:tcW w:w="1143" w:type="dxa"/>
            <w:noWrap/>
            <w:vAlign w:val="center"/>
          </w:tcPr>
          <w:p>
            <w:pPr>
              <w:spacing w:line="288" w:lineRule="auto"/>
              <w:rPr>
                <w:color w:val="0D0D0D"/>
                <w:szCs w:val="21"/>
              </w:rPr>
            </w:pPr>
            <w:r>
              <w:rPr>
                <w:rFonts w:hint="eastAsia"/>
                <w:color w:val="0D0D0D"/>
                <w:szCs w:val="21"/>
              </w:rPr>
              <w:t>第二章第四节</w:t>
            </w:r>
          </w:p>
          <w:p>
            <w:pPr>
              <w:spacing w:line="288" w:lineRule="auto"/>
              <w:rPr>
                <w:color w:val="0D0D0D"/>
                <w:szCs w:val="21"/>
              </w:rPr>
            </w:pPr>
          </w:p>
          <w:p>
            <w:pPr>
              <w:spacing w:line="288" w:lineRule="auto"/>
              <w:rPr>
                <w:color w:val="0D0D0D"/>
                <w:szCs w:val="21"/>
              </w:rPr>
            </w:pPr>
          </w:p>
          <w:p>
            <w:pPr>
              <w:spacing w:line="288" w:lineRule="auto"/>
              <w:rPr>
                <w:color w:val="0D0D0D"/>
                <w:szCs w:val="21"/>
              </w:rPr>
            </w:pPr>
            <w:r>
              <w:rPr>
                <w:rFonts w:hint="eastAsia"/>
                <w:color w:val="0D0D0D"/>
                <w:szCs w:val="21"/>
              </w:rPr>
              <w:t>第四章第四节</w:t>
            </w:r>
          </w:p>
        </w:tc>
        <w:tc>
          <w:tcPr>
            <w:tcW w:w="1895" w:type="dxa"/>
            <w:noWrap/>
            <w:vAlign w:val="center"/>
          </w:tcPr>
          <w:p>
            <w:pPr>
              <w:spacing w:line="288" w:lineRule="auto"/>
              <w:rPr>
                <w:color w:val="0D0D0D"/>
                <w:szCs w:val="21"/>
              </w:rPr>
            </w:pPr>
            <w:r>
              <w:rPr>
                <w:rFonts w:hint="eastAsia"/>
                <w:color w:val="0D0D0D"/>
                <w:szCs w:val="21"/>
              </w:rPr>
              <w:t>医患权利义务</w:t>
            </w:r>
          </w:p>
          <w:p>
            <w:pPr>
              <w:spacing w:line="288" w:lineRule="auto"/>
              <w:rPr>
                <w:color w:val="0D0D0D"/>
                <w:szCs w:val="21"/>
              </w:rPr>
            </w:pPr>
          </w:p>
          <w:p>
            <w:pPr>
              <w:spacing w:line="288" w:lineRule="auto"/>
              <w:rPr>
                <w:color w:val="0D0D0D"/>
                <w:szCs w:val="21"/>
              </w:rPr>
            </w:pPr>
          </w:p>
          <w:p>
            <w:pPr>
              <w:spacing w:line="288" w:lineRule="auto"/>
              <w:rPr>
                <w:color w:val="0D0D0D"/>
                <w:szCs w:val="21"/>
              </w:rPr>
            </w:pPr>
          </w:p>
          <w:p>
            <w:pPr>
              <w:spacing w:line="288" w:lineRule="auto"/>
              <w:rPr>
                <w:color w:val="0D0D0D"/>
                <w:szCs w:val="21"/>
              </w:rPr>
            </w:pPr>
          </w:p>
          <w:p>
            <w:pPr>
              <w:spacing w:line="288" w:lineRule="auto"/>
              <w:rPr>
                <w:color w:val="0D0D0D"/>
                <w:szCs w:val="21"/>
              </w:rPr>
            </w:pPr>
            <w:r>
              <w:rPr>
                <w:rFonts w:hint="eastAsia"/>
                <w:color w:val="0D0D0D"/>
                <w:szCs w:val="21"/>
              </w:rPr>
              <w:t>医疗注意义务与医疗过失的认定</w:t>
            </w:r>
          </w:p>
        </w:tc>
        <w:tc>
          <w:tcPr>
            <w:tcW w:w="3261" w:type="dxa"/>
            <w:noWrap/>
            <w:vAlign w:val="center"/>
          </w:tcPr>
          <w:p>
            <w:pPr>
              <w:spacing w:line="288" w:lineRule="auto"/>
              <w:rPr>
                <w:b w:val="0"/>
                <w:bCs w:val="0"/>
              </w:rPr>
            </w:pPr>
            <w:r>
              <w:rPr>
                <w:rFonts w:hint="eastAsia"/>
                <w:b w:val="0"/>
                <w:bCs w:val="0"/>
              </w:rPr>
              <w:t>坚持人民至上、生命至上</w:t>
            </w:r>
          </w:p>
          <w:p>
            <w:pPr>
              <w:spacing w:line="288" w:lineRule="auto"/>
              <w:rPr>
                <w:b w:val="0"/>
                <w:bCs w:val="0"/>
              </w:rPr>
            </w:pPr>
            <w:r>
              <w:rPr>
                <w:rFonts w:hint="eastAsia"/>
                <w:b w:val="0"/>
                <w:bCs w:val="0"/>
              </w:rPr>
              <w:t>坚持依法治国和以德治国相结合，把社会主义核心价值观融入法治建设、融入社会发展、融入日常生活。</w:t>
            </w:r>
          </w:p>
          <w:p>
            <w:pPr>
              <w:spacing w:line="288" w:lineRule="auto"/>
              <w:rPr>
                <w:b w:val="0"/>
                <w:bCs w:val="0"/>
              </w:rPr>
            </w:pPr>
            <w:r>
              <w:rPr>
                <w:rFonts w:hint="eastAsia"/>
                <w:b w:val="0"/>
                <w:bCs w:val="0"/>
              </w:rPr>
              <w:t>尊重患者人格尊严，保护患者隐私</w:t>
            </w:r>
          </w:p>
          <w:p>
            <w:pPr>
              <w:spacing w:line="288" w:lineRule="auto"/>
              <w:rPr>
                <w:b w:val="0"/>
                <w:bCs w:val="0"/>
              </w:rPr>
            </w:pPr>
            <w:r>
              <w:rPr>
                <w:rFonts w:hint="eastAsia"/>
                <w:b w:val="0"/>
                <w:bCs w:val="0"/>
              </w:rPr>
              <w:t>诚信、友善；尊重科学</w:t>
            </w:r>
          </w:p>
          <w:p>
            <w:pPr>
              <w:spacing w:line="288" w:lineRule="auto"/>
              <w:rPr>
                <w:b w:val="0"/>
                <w:bCs w:val="0"/>
              </w:rPr>
            </w:pPr>
            <w:r>
              <w:rPr>
                <w:rFonts w:hint="eastAsia"/>
                <w:b w:val="0"/>
                <w:bCs w:val="0"/>
              </w:rPr>
              <w:t>“社会主义核心价值观是凝聚人心、汇聚民力的强大力量。”</w:t>
            </w:r>
          </w:p>
          <w:p>
            <w:pPr>
              <w:spacing w:line="288" w:lineRule="auto"/>
              <w:rPr>
                <w:b w:val="0"/>
                <w:bCs w:val="0"/>
              </w:rPr>
            </w:pPr>
          </w:p>
          <w:p>
            <w:pPr>
              <w:spacing w:line="288" w:lineRule="auto"/>
              <w:rPr>
                <w:b w:val="0"/>
                <w:bCs w:val="0"/>
              </w:rPr>
            </w:pPr>
            <w:r>
              <w:rPr>
                <w:rFonts w:hint="eastAsia"/>
                <w:b w:val="0"/>
                <w:bCs w:val="0"/>
              </w:rPr>
              <w:t>甘于奉献、大爱无疆</w:t>
            </w:r>
          </w:p>
          <w:p>
            <w:pPr>
              <w:spacing w:line="288" w:lineRule="auto"/>
              <w:rPr>
                <w:b w:val="0"/>
                <w:bCs w:val="0"/>
              </w:rPr>
            </w:pPr>
          </w:p>
          <w:p>
            <w:pPr>
              <w:spacing w:line="288" w:lineRule="auto"/>
              <w:rPr>
                <w:b w:val="0"/>
                <w:bCs w:val="0"/>
              </w:rPr>
            </w:pPr>
          </w:p>
        </w:tc>
        <w:tc>
          <w:tcPr>
            <w:tcW w:w="2915" w:type="dxa"/>
            <w:noWrap/>
            <w:vAlign w:val="center"/>
          </w:tcPr>
          <w:p>
            <w:pPr>
              <w:spacing w:line="288" w:lineRule="auto"/>
              <w:rPr>
                <w:b w:val="0"/>
                <w:bCs w:val="0"/>
              </w:rPr>
            </w:pPr>
            <w:r>
              <w:rPr>
                <w:rFonts w:hint="eastAsia"/>
                <w:b w:val="0"/>
                <w:bCs w:val="0"/>
              </w:rPr>
              <w:t>结合民法典、医师法等法律法规的学习，理解我国坚持全面依法治国的重大意义，领会以法治的力量为白衣天使保驾护航。</w:t>
            </w:r>
          </w:p>
          <w:p>
            <w:pPr>
              <w:spacing w:line="288" w:lineRule="auto"/>
              <w:rPr>
                <w:b w:val="0"/>
                <w:bCs w:val="0"/>
              </w:rPr>
            </w:pPr>
            <w:r>
              <w:rPr>
                <w:rFonts w:hint="eastAsia"/>
                <w:b w:val="0"/>
                <w:bCs w:val="0"/>
              </w:rPr>
              <w:t>理解人格尊严受尊重的法律规定，</w:t>
            </w:r>
            <w:r>
              <w:rPr>
                <w:b w:val="0"/>
                <w:bCs w:val="0"/>
              </w:rPr>
              <w:t>践行人民至上、生命至上理念</w:t>
            </w:r>
            <w:r>
              <w:rPr>
                <w:rFonts w:hint="eastAsia"/>
                <w:b w:val="0"/>
                <w:bCs w:val="0"/>
              </w:rPr>
              <w:t>，不忘医者初心，牢记健康使命，履行救死扶伤、治病救人的职责，并能正确熟练运用于临床实践中。</w:t>
            </w:r>
          </w:p>
          <w:p>
            <w:pPr>
              <w:spacing w:line="288" w:lineRule="auto"/>
              <w:rPr>
                <w:b w:val="0"/>
                <w:bCs w:val="0"/>
                <w:color w:val="0D0D0D"/>
                <w:szCs w:val="21"/>
              </w:rPr>
            </w:pPr>
            <w:r>
              <w:rPr>
                <w:rFonts w:hint="eastAsia"/>
                <w:b w:val="0"/>
                <w:bCs w:val="0"/>
              </w:rPr>
              <w:t>学会通过医疗服务来构建良好医患关系的信心，增强爱专业、学技术的积极性，树立生命至上，以患者中心的人文精神。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tabs>
                <w:tab w:val="center" w:pos="334"/>
                <w:tab w:val="left" w:pos="451"/>
              </w:tabs>
              <w:spacing w:line="288" w:lineRule="auto"/>
              <w:jc w:val="left"/>
              <w:rPr>
                <w:b/>
                <w:bCs/>
                <w:color w:val="0D0D0D"/>
                <w:szCs w:val="21"/>
              </w:rPr>
            </w:pPr>
            <w:r>
              <w:rPr>
                <w:rFonts w:hint="eastAsia"/>
                <w:b/>
                <w:bCs/>
                <w:color w:val="0D0D0D"/>
                <w:szCs w:val="21"/>
              </w:rPr>
              <w:tab/>
            </w:r>
            <w:r>
              <w:rPr>
                <w:rFonts w:hint="eastAsia"/>
                <w:b/>
                <w:bCs/>
                <w:color w:val="0D0D0D"/>
                <w:szCs w:val="21"/>
              </w:rPr>
              <w:t>3</w:t>
            </w:r>
          </w:p>
        </w:tc>
        <w:tc>
          <w:tcPr>
            <w:tcW w:w="1143" w:type="dxa"/>
            <w:noWrap/>
            <w:vAlign w:val="center"/>
          </w:tcPr>
          <w:p>
            <w:pPr>
              <w:tabs>
                <w:tab w:val="left" w:pos="385"/>
              </w:tabs>
              <w:spacing w:line="288" w:lineRule="auto"/>
              <w:rPr>
                <w:color w:val="0D0D0D"/>
                <w:szCs w:val="21"/>
              </w:rPr>
            </w:pPr>
            <w:r>
              <w:rPr>
                <w:rFonts w:hint="eastAsia"/>
                <w:color w:val="0D0D0D"/>
                <w:szCs w:val="21"/>
              </w:rPr>
              <w:t>第三章第二、三节</w:t>
            </w:r>
          </w:p>
        </w:tc>
        <w:tc>
          <w:tcPr>
            <w:tcW w:w="1895" w:type="dxa"/>
            <w:noWrap/>
            <w:vAlign w:val="center"/>
          </w:tcPr>
          <w:p>
            <w:pPr>
              <w:spacing w:line="288" w:lineRule="auto"/>
              <w:rPr>
                <w:color w:val="0D0D0D"/>
                <w:szCs w:val="21"/>
              </w:rPr>
            </w:pPr>
            <w:r>
              <w:rPr>
                <w:rFonts w:hint="eastAsia"/>
                <w:color w:val="0D0D0D"/>
                <w:szCs w:val="21"/>
              </w:rPr>
              <w:t>医疗机构管理法律制度</w:t>
            </w:r>
          </w:p>
          <w:p>
            <w:pPr>
              <w:spacing w:line="288" w:lineRule="auto"/>
              <w:rPr>
                <w:color w:val="0D0D0D"/>
                <w:szCs w:val="21"/>
              </w:rPr>
            </w:pPr>
            <w:r>
              <w:rPr>
                <w:rFonts w:hint="eastAsia"/>
                <w:color w:val="0D0D0D"/>
                <w:szCs w:val="21"/>
              </w:rPr>
              <w:t>医师法律制度</w:t>
            </w:r>
          </w:p>
        </w:tc>
        <w:tc>
          <w:tcPr>
            <w:tcW w:w="3261" w:type="dxa"/>
            <w:noWrap/>
            <w:vAlign w:val="center"/>
          </w:tcPr>
          <w:p>
            <w:pPr>
              <w:spacing w:line="288" w:lineRule="auto"/>
              <w:rPr>
                <w:b w:val="0"/>
                <w:bCs w:val="0"/>
                <w:color w:val="0D0D0D"/>
                <w:szCs w:val="21"/>
              </w:rPr>
            </w:pPr>
            <w:r>
              <w:rPr>
                <w:rFonts w:hint="eastAsia"/>
                <w:b w:val="0"/>
                <w:bCs w:val="0"/>
                <w:color w:val="0D0D0D"/>
                <w:szCs w:val="21"/>
              </w:rPr>
              <w:t>人民至上、生命至上</w:t>
            </w:r>
          </w:p>
          <w:p>
            <w:pPr>
              <w:spacing w:line="288" w:lineRule="auto"/>
              <w:rPr>
                <w:b w:val="0"/>
                <w:bCs w:val="0"/>
                <w:color w:val="0D0D0D"/>
                <w:szCs w:val="21"/>
              </w:rPr>
            </w:pPr>
            <w:r>
              <w:rPr>
                <w:rFonts w:hint="eastAsia"/>
                <w:b w:val="0"/>
                <w:bCs w:val="0"/>
                <w:color w:val="0D0D0D"/>
                <w:szCs w:val="21"/>
              </w:rPr>
              <w:t>救死扶伤 治病救人</w:t>
            </w:r>
          </w:p>
          <w:p>
            <w:pPr>
              <w:spacing w:line="288" w:lineRule="auto"/>
              <w:rPr>
                <w:b w:val="0"/>
                <w:bCs w:val="0"/>
                <w:color w:val="0D0D0D"/>
                <w:szCs w:val="21"/>
              </w:rPr>
            </w:pPr>
            <w:r>
              <w:rPr>
                <w:b w:val="0"/>
                <w:bCs w:val="0"/>
                <w:color w:val="0D0D0D"/>
                <w:szCs w:val="21"/>
              </w:rPr>
              <w:t>习近平法治思想中关于“坚持全面推进科学立法、严格执法、 公正司法、全民守法”的相关论述</w:t>
            </w:r>
          </w:p>
        </w:tc>
        <w:tc>
          <w:tcPr>
            <w:tcW w:w="2915" w:type="dxa"/>
            <w:noWrap/>
            <w:vAlign w:val="center"/>
          </w:tcPr>
          <w:p>
            <w:pPr>
              <w:spacing w:line="288" w:lineRule="auto"/>
              <w:rPr>
                <w:b w:val="0"/>
                <w:bCs w:val="0"/>
                <w:color w:val="0D0D0D"/>
                <w:szCs w:val="21"/>
              </w:rPr>
            </w:pPr>
            <w:r>
              <w:rPr>
                <w:rFonts w:hint="eastAsia"/>
                <w:b w:val="0"/>
                <w:bCs w:val="0"/>
                <w:color w:val="0D0D0D"/>
                <w:szCs w:val="21"/>
              </w:rPr>
              <w:t>掌握医疗机构及其医务人员的法律地位及职责；掌握法律保障医师合法权益、医师职业精神的规定，强化依法依规执业、遵守职业道德的意识。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spacing w:line="288" w:lineRule="auto"/>
              <w:jc w:val="center"/>
              <w:rPr>
                <w:color w:val="0D0D0D"/>
                <w:szCs w:val="21"/>
              </w:rPr>
            </w:pPr>
            <w:r>
              <w:rPr>
                <w:rFonts w:hint="eastAsia"/>
                <w:b/>
                <w:bCs/>
                <w:color w:val="0D0D0D"/>
                <w:szCs w:val="21"/>
              </w:rPr>
              <w:t>4</w:t>
            </w:r>
          </w:p>
        </w:tc>
        <w:tc>
          <w:tcPr>
            <w:tcW w:w="1143" w:type="dxa"/>
            <w:noWrap/>
            <w:vAlign w:val="center"/>
          </w:tcPr>
          <w:p>
            <w:pPr>
              <w:spacing w:line="288" w:lineRule="auto"/>
              <w:rPr>
                <w:color w:val="0D0D0D"/>
                <w:szCs w:val="21"/>
              </w:rPr>
            </w:pPr>
            <w:r>
              <w:rPr>
                <w:rFonts w:hint="eastAsia"/>
                <w:color w:val="0D0D0D"/>
                <w:szCs w:val="21"/>
              </w:rPr>
              <w:t>第七章第二、三节</w:t>
            </w:r>
          </w:p>
        </w:tc>
        <w:tc>
          <w:tcPr>
            <w:tcW w:w="1895" w:type="dxa"/>
            <w:noWrap/>
            <w:vAlign w:val="center"/>
          </w:tcPr>
          <w:p>
            <w:pPr>
              <w:spacing w:line="288" w:lineRule="auto"/>
              <w:rPr>
                <w:color w:val="0D0D0D"/>
                <w:szCs w:val="21"/>
              </w:rPr>
            </w:pPr>
            <w:r>
              <w:rPr>
                <w:rFonts w:hint="eastAsia"/>
                <w:color w:val="0D0D0D"/>
                <w:szCs w:val="21"/>
              </w:rPr>
              <w:t>医疗损害责任的归责原则、免责事由、举证责任规定</w:t>
            </w:r>
          </w:p>
        </w:tc>
        <w:tc>
          <w:tcPr>
            <w:tcW w:w="3261" w:type="dxa"/>
            <w:noWrap/>
          </w:tcPr>
          <w:p>
            <w:pPr>
              <w:spacing w:line="288" w:lineRule="auto"/>
              <w:rPr>
                <w:b w:val="0"/>
                <w:bCs w:val="0"/>
              </w:rPr>
            </w:pPr>
          </w:p>
          <w:p>
            <w:pPr>
              <w:spacing w:line="288" w:lineRule="auto"/>
              <w:rPr>
                <w:b w:val="0"/>
                <w:bCs w:val="0"/>
              </w:rPr>
            </w:pPr>
            <w:r>
              <w:rPr>
                <w:rFonts w:hint="eastAsia"/>
                <w:b w:val="0"/>
                <w:bCs w:val="0"/>
              </w:rPr>
              <w:t>依法治国、公平、正义；弘扬社会主义核心价值观</w:t>
            </w:r>
          </w:p>
        </w:tc>
        <w:tc>
          <w:tcPr>
            <w:tcW w:w="2915" w:type="dxa"/>
            <w:noWrap/>
          </w:tcPr>
          <w:p>
            <w:pPr>
              <w:spacing w:line="288" w:lineRule="auto"/>
              <w:rPr>
                <w:b w:val="0"/>
                <w:bCs w:val="0"/>
              </w:rPr>
            </w:pPr>
            <w:r>
              <w:rPr>
                <w:rFonts w:hint="eastAsia"/>
                <w:b w:val="0"/>
                <w:bCs w:val="0"/>
              </w:rPr>
              <w:t>理解医疗损害责任法律制度所蕴含的法治精神，树立依法执业的法治观念，培养法治信仰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noWrap/>
            <w:vAlign w:val="center"/>
          </w:tcPr>
          <w:p>
            <w:pPr>
              <w:spacing w:line="288" w:lineRule="auto"/>
              <w:jc w:val="center"/>
              <w:rPr>
                <w:color w:val="0D0D0D"/>
                <w:szCs w:val="21"/>
              </w:rPr>
            </w:pPr>
            <w:r>
              <w:rPr>
                <w:rFonts w:hint="eastAsia"/>
                <w:b/>
                <w:bCs/>
                <w:color w:val="0D0D0D"/>
                <w:szCs w:val="21"/>
              </w:rPr>
              <w:t>5</w:t>
            </w:r>
          </w:p>
        </w:tc>
        <w:tc>
          <w:tcPr>
            <w:tcW w:w="1143" w:type="dxa"/>
            <w:noWrap/>
            <w:vAlign w:val="center"/>
          </w:tcPr>
          <w:p>
            <w:pPr>
              <w:spacing w:line="288" w:lineRule="auto"/>
              <w:rPr>
                <w:color w:val="0D0D0D"/>
                <w:szCs w:val="21"/>
              </w:rPr>
            </w:pPr>
            <w:r>
              <w:rPr>
                <w:rFonts w:hint="eastAsia"/>
                <w:color w:val="0D0D0D"/>
                <w:szCs w:val="21"/>
              </w:rPr>
              <w:t>第十章第二、三节</w:t>
            </w:r>
          </w:p>
        </w:tc>
        <w:tc>
          <w:tcPr>
            <w:tcW w:w="1895" w:type="dxa"/>
            <w:noWrap/>
            <w:vAlign w:val="center"/>
          </w:tcPr>
          <w:p>
            <w:pPr>
              <w:spacing w:line="288" w:lineRule="auto"/>
              <w:rPr>
                <w:color w:val="0D0D0D"/>
                <w:szCs w:val="21"/>
              </w:rPr>
            </w:pPr>
            <w:r>
              <w:rPr>
                <w:rFonts w:hint="eastAsia"/>
                <w:color w:val="0D0D0D"/>
                <w:szCs w:val="21"/>
              </w:rPr>
              <w:t>医疗纠纷预防和处理</w:t>
            </w:r>
          </w:p>
        </w:tc>
        <w:tc>
          <w:tcPr>
            <w:tcW w:w="3261" w:type="dxa"/>
            <w:noWrap/>
            <w:vAlign w:val="center"/>
          </w:tcPr>
          <w:p>
            <w:pPr>
              <w:spacing w:line="288" w:lineRule="auto"/>
              <w:rPr>
                <w:b w:val="0"/>
                <w:bCs w:val="0"/>
                <w:color w:val="0D0D0D"/>
                <w:szCs w:val="21"/>
              </w:rPr>
            </w:pPr>
            <w:r>
              <w:rPr>
                <w:rFonts w:hint="eastAsia"/>
                <w:b w:val="0"/>
                <w:bCs w:val="0"/>
                <w:color w:val="0D0D0D"/>
                <w:szCs w:val="21"/>
              </w:rPr>
              <w:t>二十大报告精神：严格规范公正文明执法，严格公正司法；努力让人民群众在每一个司法案件中感受到公平正义。</w:t>
            </w:r>
          </w:p>
          <w:p>
            <w:pPr>
              <w:spacing w:line="288" w:lineRule="auto"/>
              <w:rPr>
                <w:b w:val="0"/>
                <w:bCs w:val="0"/>
                <w:color w:val="0D0D0D"/>
                <w:szCs w:val="21"/>
              </w:rPr>
            </w:pPr>
            <w:r>
              <w:rPr>
                <w:rFonts w:hint="eastAsia"/>
                <w:b w:val="0"/>
                <w:bCs w:val="0"/>
                <w:color w:val="0D0D0D"/>
                <w:szCs w:val="21"/>
              </w:rPr>
              <w:t>弘扬社会主义法治精神；</w:t>
            </w:r>
          </w:p>
          <w:p>
            <w:pPr>
              <w:spacing w:line="288" w:lineRule="auto"/>
              <w:rPr>
                <w:b w:val="0"/>
                <w:bCs w:val="0"/>
                <w:color w:val="0D0D0D"/>
                <w:szCs w:val="21"/>
              </w:rPr>
            </w:pPr>
            <w:r>
              <w:rPr>
                <w:rFonts w:hint="eastAsia"/>
                <w:b w:val="0"/>
                <w:bCs w:val="0"/>
                <w:color w:val="0D0D0D"/>
                <w:szCs w:val="21"/>
              </w:rPr>
              <w:t>和谐、友善、公正、法治</w:t>
            </w:r>
          </w:p>
        </w:tc>
        <w:tc>
          <w:tcPr>
            <w:tcW w:w="2915" w:type="dxa"/>
            <w:noWrap/>
            <w:vAlign w:val="center"/>
          </w:tcPr>
          <w:p>
            <w:pPr>
              <w:spacing w:line="288" w:lineRule="auto"/>
              <w:rPr>
                <w:b w:val="0"/>
                <w:bCs w:val="0"/>
                <w:color w:val="0D0D0D"/>
                <w:szCs w:val="21"/>
              </w:rPr>
            </w:pPr>
            <w:r>
              <w:rPr>
                <w:rFonts w:hint="eastAsia"/>
                <w:b w:val="0"/>
                <w:bCs w:val="0"/>
                <w:color w:val="0D0D0D"/>
                <w:szCs w:val="21"/>
              </w:rPr>
              <w:t>理解二十大报告“</w:t>
            </w:r>
            <w:r>
              <w:rPr>
                <w:b w:val="0"/>
                <w:bCs w:val="0"/>
                <w:color w:val="0D0D0D"/>
                <w:szCs w:val="21"/>
              </w:rPr>
              <w:t>坚持全面依法治国，推进法治中国建设</w:t>
            </w:r>
            <w:r>
              <w:rPr>
                <w:rFonts w:hint="eastAsia"/>
                <w:b w:val="0"/>
                <w:bCs w:val="0"/>
                <w:color w:val="0D0D0D"/>
                <w:szCs w:val="21"/>
              </w:rPr>
              <w:t>”涵义</w:t>
            </w:r>
          </w:p>
          <w:p>
            <w:pPr>
              <w:spacing w:line="288" w:lineRule="auto"/>
              <w:rPr>
                <w:b w:val="0"/>
                <w:bCs w:val="0"/>
                <w:color w:val="0D0D0D"/>
                <w:szCs w:val="21"/>
              </w:rPr>
            </w:pPr>
            <w:r>
              <w:rPr>
                <w:rFonts w:hint="eastAsia"/>
                <w:b w:val="0"/>
                <w:bCs w:val="0"/>
                <w:color w:val="0D0D0D"/>
                <w:szCs w:val="21"/>
              </w:rPr>
              <w:t>尊崇法律、信奉法律，树立法治观念和法治意识，引导学生做社会主义法治的忠实崇尚者、自觉遵守者、坚定捍卫者。</w:t>
            </w:r>
          </w:p>
        </w:tc>
      </w:tr>
    </w:tbl>
    <w:p>
      <w:pPr>
        <w:spacing w:line="360" w:lineRule="auto"/>
        <w:ind w:firstLine="422" w:firstLineChars="200"/>
        <w:rPr>
          <w:b/>
          <w:color w:val="0D0D0D"/>
        </w:rPr>
      </w:pPr>
    </w:p>
    <w:p>
      <w:pPr>
        <w:spacing w:line="360" w:lineRule="auto"/>
        <w:ind w:firstLine="422" w:firstLineChars="200"/>
        <w:rPr>
          <w:b/>
          <w:color w:val="0D0D0D"/>
        </w:rPr>
      </w:pPr>
      <w:r>
        <w:rPr>
          <w:rFonts w:hint="eastAsia"/>
          <w:b/>
          <w:color w:val="0D0D0D"/>
        </w:rPr>
        <w:t>七、主要教学方法</w:t>
      </w:r>
    </w:p>
    <w:p>
      <w:pPr>
        <w:spacing w:line="360" w:lineRule="auto"/>
        <w:ind w:firstLine="420" w:firstLineChars="200"/>
        <w:rPr>
          <w:szCs w:val="21"/>
        </w:rPr>
      </w:pPr>
      <w:r>
        <w:rPr>
          <w:rFonts w:hint="eastAsia"/>
          <w:szCs w:val="21"/>
        </w:rPr>
        <w:t>以引导式讲授为主，结合案例以医疗环境中的特殊问题为切入点引导学生分析与讨论。</w:t>
      </w:r>
    </w:p>
    <w:p>
      <w:pPr>
        <w:spacing w:line="360" w:lineRule="auto"/>
        <w:ind w:firstLine="422" w:firstLineChars="200"/>
        <w:rPr>
          <w:b/>
          <w:color w:val="0D0D0D"/>
        </w:rPr>
      </w:pPr>
      <w:r>
        <w:rPr>
          <w:rFonts w:hint="eastAsia"/>
          <w:b/>
          <w:color w:val="0D0D0D"/>
        </w:rPr>
        <w:t>八、参考教材（名称、主编、出版社、出版时间）</w:t>
      </w:r>
    </w:p>
    <w:p>
      <w:pPr>
        <w:spacing w:line="360" w:lineRule="auto"/>
        <w:ind w:firstLine="420" w:firstLineChars="200"/>
        <w:rPr>
          <w:rFonts w:ascii="宋体" w:hAnsi="宋体" w:cs="宋体"/>
          <w:bCs/>
        </w:rPr>
      </w:pPr>
      <w:r>
        <w:rPr>
          <w:rFonts w:hint="eastAsia" w:ascii="宋体" w:hAnsi="宋体" w:cs="宋体"/>
          <w:bCs/>
        </w:rPr>
        <w:t>1.医事法（第3版），王岳，北京：人民卫生出版社，2019年</w:t>
      </w:r>
    </w:p>
    <w:p>
      <w:pPr>
        <w:spacing w:line="360" w:lineRule="auto"/>
        <w:ind w:firstLine="420" w:firstLineChars="200"/>
        <w:rPr>
          <w:rFonts w:ascii="宋体" w:hAnsi="宋体" w:cs="宋体"/>
          <w:bCs/>
        </w:rPr>
      </w:pPr>
      <w:r>
        <w:rPr>
          <w:rFonts w:hint="eastAsia" w:ascii="宋体" w:hAnsi="宋体" w:cs="宋体"/>
          <w:bCs/>
        </w:rPr>
        <w:t>2.医事法学（第3版），刘鑫，北京：中国人民大学出版社，2022年</w:t>
      </w:r>
    </w:p>
    <w:p>
      <w:pPr>
        <w:spacing w:line="360" w:lineRule="auto"/>
        <w:rPr>
          <w:b/>
        </w:rPr>
      </w:pPr>
      <w:r>
        <w:rPr>
          <w:rFonts w:hint="eastAsia"/>
          <w:b/>
        </w:rPr>
        <w:t>九、教学学习</w:t>
      </w:r>
      <w:r>
        <w:rPr>
          <w:b/>
        </w:rPr>
        <w:t>资源</w:t>
      </w:r>
      <w:r>
        <w:rPr>
          <w:rFonts w:hint="eastAsia"/>
          <w:b/>
        </w:rPr>
        <w:t>或</w:t>
      </w:r>
      <w:r>
        <w:rPr>
          <w:b/>
        </w:rPr>
        <w:t>平台</w:t>
      </w:r>
    </w:p>
    <w:p>
      <w:pPr>
        <w:spacing w:line="360" w:lineRule="auto"/>
        <w:ind w:firstLine="420" w:firstLineChars="200"/>
      </w:pPr>
      <w:r>
        <w:rPr>
          <w:rFonts w:hint="eastAsia"/>
        </w:rPr>
        <w:t>PPT</w:t>
      </w:r>
    </w:p>
    <w:p>
      <w:pPr>
        <w:spacing w:line="360" w:lineRule="auto"/>
        <w:ind w:firstLine="420" w:firstLineChars="200"/>
        <w:rPr>
          <w:b/>
          <w:szCs w:val="21"/>
        </w:rPr>
      </w:pPr>
      <w:r>
        <w:rPr>
          <w:rFonts w:hint="eastAsia"/>
        </w:rPr>
        <w:t>学习参考资料：相关法律法规规章；国家卫生健康委员会医政司：《医疗质量安全核心制度要点释义（第二版）》，中国人口出版社2023年。</w:t>
      </w:r>
    </w:p>
    <w:p>
      <w:pPr>
        <w:spacing w:line="360" w:lineRule="auto"/>
        <w:ind w:firstLine="422" w:firstLineChars="200"/>
        <w:rPr>
          <w:b/>
          <w:szCs w:val="21"/>
        </w:rPr>
      </w:pPr>
      <w:r>
        <w:rPr>
          <w:rFonts w:hint="eastAsia"/>
          <w:b/>
          <w:szCs w:val="21"/>
        </w:rPr>
        <w:t>十、考核方式</w:t>
      </w:r>
    </w:p>
    <w:p>
      <w:pPr>
        <w:spacing w:line="360" w:lineRule="auto"/>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1.平时考核：通过课堂提问、案例分析讨论发言、小测验、课堂参与活动表现以及作业等方式进行，并结合考勤评定平时成绩，平时成绩占总成绩的50%。</w:t>
      </w:r>
    </w:p>
    <w:p>
      <w:pPr>
        <w:spacing w:line="360" w:lineRule="auto"/>
        <w:ind w:firstLine="420" w:firstLineChars="20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2.期末考核：考查。采用开卷形式，占总成绩的50%。</w:t>
      </w:r>
    </w:p>
    <w:p>
      <w:pPr>
        <w:spacing w:line="360" w:lineRule="auto"/>
        <w:ind w:firstLine="420" w:firstLineChars="200"/>
        <w:rPr>
          <w:rFonts w:asciiTheme="minorEastAsia" w:hAnsiTheme="minorEastAsia" w:eastAsiaTheme="minorEastAsia" w:cstheme="minorEastAsia"/>
          <w:bCs/>
          <w:szCs w:val="21"/>
        </w:rPr>
        <w:sectPr>
          <w:footerReference r:id="rId8" w:type="default"/>
          <w:pgSz w:w="11906" w:h="16838"/>
          <w:pgMar w:top="1440" w:right="1800" w:bottom="1440" w:left="1797" w:header="851" w:footer="992" w:gutter="0"/>
          <w:pgNumType w:start="1"/>
          <w:cols w:space="425" w:num="1"/>
          <w:docGrid w:type="lines" w:linePitch="312" w:charSpace="0"/>
        </w:sectPr>
      </w:pPr>
      <w:r>
        <w:rPr>
          <w:rFonts w:hint="eastAsia" w:asciiTheme="minorEastAsia" w:hAnsiTheme="minorEastAsia" w:eastAsiaTheme="minorEastAsia" w:cstheme="minorEastAsia"/>
          <w:szCs w:val="21"/>
        </w:rPr>
        <w:t>3.考核与评价的分析结果通过学习通等网络学习平台向学生反馈。</w:t>
      </w:r>
    </w:p>
    <w:p>
      <w:pPr>
        <w:spacing w:line="288" w:lineRule="auto"/>
        <w:rPr>
          <w:b/>
        </w:rPr>
      </w:pPr>
      <w:r>
        <w:rPr>
          <w:rFonts w:hint="eastAsia"/>
          <w:b/>
        </w:rPr>
        <w:t>附表：教学计划表（在相应的表格内填写教学学时数）</w:t>
      </w:r>
    </w:p>
    <w:tbl>
      <w:tblPr>
        <w:tblStyle w:val="5"/>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97"/>
        <w:gridCol w:w="2268"/>
        <w:gridCol w:w="212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7" w:type="dxa"/>
            <w:noWrap/>
            <w:vAlign w:val="center"/>
          </w:tcPr>
          <w:p>
            <w:pPr>
              <w:spacing w:line="288" w:lineRule="auto"/>
              <w:jc w:val="center"/>
              <w:rPr>
                <w:b/>
              </w:rPr>
            </w:pPr>
            <w:r>
              <w:rPr>
                <w:rFonts w:hint="eastAsia"/>
                <w:b/>
              </w:rPr>
              <w:t>序号</w:t>
            </w:r>
          </w:p>
        </w:tc>
        <w:tc>
          <w:tcPr>
            <w:tcW w:w="4997" w:type="dxa"/>
            <w:noWrap/>
            <w:vAlign w:val="center"/>
          </w:tcPr>
          <w:p>
            <w:pPr>
              <w:spacing w:line="288" w:lineRule="auto"/>
              <w:jc w:val="center"/>
              <w:rPr>
                <w:b/>
              </w:rPr>
            </w:pPr>
            <w:r>
              <w:rPr>
                <w:rFonts w:hint="eastAsia"/>
                <w:b/>
              </w:rPr>
              <w:t>学习内容</w:t>
            </w:r>
          </w:p>
        </w:tc>
        <w:tc>
          <w:tcPr>
            <w:tcW w:w="2268" w:type="dxa"/>
            <w:noWrap/>
            <w:vAlign w:val="center"/>
          </w:tcPr>
          <w:p>
            <w:pPr>
              <w:spacing w:line="288" w:lineRule="auto"/>
              <w:jc w:val="center"/>
              <w:rPr>
                <w:b/>
              </w:rPr>
            </w:pPr>
            <w:r>
              <w:rPr>
                <w:rFonts w:hint="eastAsia"/>
                <w:b/>
              </w:rPr>
              <w:t>理论学时</w:t>
            </w:r>
          </w:p>
        </w:tc>
        <w:tc>
          <w:tcPr>
            <w:tcW w:w="2126" w:type="dxa"/>
            <w:noWrap/>
            <w:vAlign w:val="center"/>
          </w:tcPr>
          <w:p>
            <w:pPr>
              <w:spacing w:line="288" w:lineRule="auto"/>
              <w:jc w:val="center"/>
              <w:rPr>
                <w:b/>
              </w:rPr>
            </w:pPr>
            <w:r>
              <w:rPr>
                <w:rFonts w:hint="eastAsia"/>
                <w:b/>
              </w:rPr>
              <w:t>实验学时</w:t>
            </w:r>
          </w:p>
        </w:tc>
        <w:tc>
          <w:tcPr>
            <w:tcW w:w="2977" w:type="dxa"/>
            <w:noWrap/>
            <w:vAlign w:val="center"/>
          </w:tcPr>
          <w:p>
            <w:pPr>
              <w:spacing w:line="288" w:lineRule="auto"/>
              <w:jc w:val="center"/>
              <w:rPr>
                <w:b/>
              </w:rPr>
            </w:pPr>
            <w:r>
              <w:rPr>
                <w:rFonts w:hint="eastAsia"/>
                <w:b/>
              </w:rPr>
              <w:t>是否自主学习</w:t>
            </w:r>
            <w:r>
              <w:rPr>
                <w:b/>
              </w:rPr>
              <w:t>内容</w:t>
            </w:r>
            <w:r>
              <w:rPr>
                <w:rFonts w:hint="eastAsia"/>
                <w:b/>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07" w:type="dxa"/>
            <w:noWrap/>
            <w:vAlign w:val="center"/>
          </w:tcPr>
          <w:p>
            <w:pPr>
              <w:spacing w:line="288" w:lineRule="auto"/>
              <w:jc w:val="center"/>
              <w:rPr>
                <w:b/>
              </w:rPr>
            </w:pPr>
            <w:r>
              <w:rPr>
                <w:rFonts w:hint="eastAsia"/>
                <w:b/>
              </w:rPr>
              <w:t>1</w:t>
            </w:r>
          </w:p>
        </w:tc>
        <w:tc>
          <w:tcPr>
            <w:tcW w:w="4997" w:type="dxa"/>
            <w:noWrap/>
            <w:vAlign w:val="center"/>
          </w:tcPr>
          <w:p>
            <w:pPr>
              <w:spacing w:line="360" w:lineRule="auto"/>
            </w:pPr>
            <w:r>
              <w:rPr>
                <w:rFonts w:hint="eastAsia"/>
              </w:rPr>
              <w:t xml:space="preserve">第一章 概论     </w:t>
            </w:r>
          </w:p>
        </w:tc>
        <w:tc>
          <w:tcPr>
            <w:tcW w:w="2268" w:type="dxa"/>
            <w:noWrap/>
            <w:vAlign w:val="center"/>
          </w:tcPr>
          <w:p>
            <w:pPr>
              <w:spacing w:line="288" w:lineRule="auto"/>
              <w:jc w:val="center"/>
              <w:rPr>
                <w:b/>
                <w:bCs/>
              </w:rPr>
            </w:pPr>
            <w:r>
              <w:rPr>
                <w:rFonts w:hint="eastAsia"/>
                <w:b/>
                <w:bCs/>
              </w:rPr>
              <w:t>0.5</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07" w:type="dxa"/>
            <w:noWrap/>
            <w:vAlign w:val="center"/>
          </w:tcPr>
          <w:p>
            <w:pPr>
              <w:spacing w:line="288" w:lineRule="auto"/>
              <w:jc w:val="center"/>
              <w:rPr>
                <w:b/>
              </w:rPr>
            </w:pPr>
            <w:r>
              <w:rPr>
                <w:rFonts w:hint="eastAsia"/>
                <w:b/>
              </w:rPr>
              <w:t>2</w:t>
            </w:r>
          </w:p>
        </w:tc>
        <w:tc>
          <w:tcPr>
            <w:tcW w:w="4997" w:type="dxa"/>
            <w:noWrap/>
            <w:vAlign w:val="center"/>
          </w:tcPr>
          <w:p>
            <w:pPr>
              <w:spacing w:line="288" w:lineRule="auto"/>
            </w:pPr>
            <w:r>
              <w:rPr>
                <w:rFonts w:hint="eastAsia"/>
              </w:rPr>
              <w:t>第二章 医疗行为与医疗法律关系</w:t>
            </w:r>
          </w:p>
        </w:tc>
        <w:tc>
          <w:tcPr>
            <w:tcW w:w="2268" w:type="dxa"/>
            <w:noWrap/>
            <w:vAlign w:val="center"/>
          </w:tcPr>
          <w:p>
            <w:pPr>
              <w:spacing w:line="288" w:lineRule="auto"/>
              <w:jc w:val="center"/>
              <w:rPr>
                <w:b/>
                <w:bCs/>
              </w:rPr>
            </w:pPr>
            <w:r>
              <w:rPr>
                <w:rFonts w:hint="eastAsia"/>
                <w:b/>
                <w:bCs/>
              </w:rPr>
              <w:t>4</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07" w:type="dxa"/>
            <w:noWrap/>
            <w:vAlign w:val="center"/>
          </w:tcPr>
          <w:p>
            <w:pPr>
              <w:spacing w:line="288" w:lineRule="auto"/>
              <w:jc w:val="center"/>
              <w:rPr>
                <w:b/>
              </w:rPr>
            </w:pPr>
            <w:r>
              <w:rPr>
                <w:rFonts w:hint="eastAsia"/>
                <w:b/>
              </w:rPr>
              <w:t>3</w:t>
            </w:r>
          </w:p>
        </w:tc>
        <w:tc>
          <w:tcPr>
            <w:tcW w:w="4997" w:type="dxa"/>
            <w:noWrap/>
            <w:vAlign w:val="center"/>
          </w:tcPr>
          <w:p>
            <w:pPr>
              <w:spacing w:line="288" w:lineRule="auto"/>
            </w:pPr>
            <w:r>
              <w:rPr>
                <w:rFonts w:hint="eastAsia"/>
              </w:rPr>
              <w:t>第三章 医师执业资格与医疗执业规则</w:t>
            </w:r>
          </w:p>
        </w:tc>
        <w:tc>
          <w:tcPr>
            <w:tcW w:w="2268" w:type="dxa"/>
            <w:noWrap/>
            <w:vAlign w:val="center"/>
          </w:tcPr>
          <w:p>
            <w:pPr>
              <w:spacing w:line="288" w:lineRule="auto"/>
              <w:jc w:val="center"/>
              <w:rPr>
                <w:b/>
                <w:bCs/>
              </w:rPr>
            </w:pPr>
            <w:r>
              <w:rPr>
                <w:rFonts w:hint="eastAsia"/>
                <w:b/>
                <w:bCs/>
              </w:rPr>
              <w:t>2</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07" w:type="dxa"/>
            <w:noWrap/>
            <w:vAlign w:val="center"/>
          </w:tcPr>
          <w:p>
            <w:pPr>
              <w:spacing w:line="288" w:lineRule="auto"/>
              <w:jc w:val="center"/>
              <w:rPr>
                <w:b/>
              </w:rPr>
            </w:pPr>
            <w:r>
              <w:rPr>
                <w:rFonts w:hint="eastAsia"/>
                <w:b/>
              </w:rPr>
              <w:t>4</w:t>
            </w:r>
          </w:p>
        </w:tc>
        <w:tc>
          <w:tcPr>
            <w:tcW w:w="4997" w:type="dxa"/>
            <w:noWrap/>
            <w:vAlign w:val="center"/>
          </w:tcPr>
          <w:p>
            <w:pPr>
              <w:spacing w:line="288" w:lineRule="auto"/>
            </w:pPr>
            <w:r>
              <w:rPr>
                <w:rFonts w:hint="eastAsia"/>
              </w:rPr>
              <w:t>第四章  医疗执业义务与医疗过失的认定</w:t>
            </w:r>
          </w:p>
        </w:tc>
        <w:tc>
          <w:tcPr>
            <w:tcW w:w="2268" w:type="dxa"/>
            <w:noWrap/>
            <w:vAlign w:val="center"/>
          </w:tcPr>
          <w:p>
            <w:pPr>
              <w:spacing w:line="288" w:lineRule="auto"/>
              <w:jc w:val="center"/>
              <w:rPr>
                <w:b/>
                <w:bCs/>
              </w:rPr>
            </w:pPr>
            <w:r>
              <w:rPr>
                <w:rFonts w:hint="eastAsia"/>
                <w:b/>
                <w:bCs/>
              </w:rPr>
              <w:t>1.5</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07" w:type="dxa"/>
            <w:noWrap/>
            <w:vAlign w:val="center"/>
          </w:tcPr>
          <w:p>
            <w:pPr>
              <w:spacing w:line="288" w:lineRule="auto"/>
              <w:jc w:val="center"/>
              <w:rPr>
                <w:b/>
              </w:rPr>
            </w:pPr>
            <w:r>
              <w:rPr>
                <w:rFonts w:hint="eastAsia"/>
                <w:b/>
              </w:rPr>
              <w:t>5</w:t>
            </w:r>
          </w:p>
        </w:tc>
        <w:tc>
          <w:tcPr>
            <w:tcW w:w="4997" w:type="dxa"/>
            <w:noWrap/>
            <w:vAlign w:val="center"/>
          </w:tcPr>
          <w:p>
            <w:pPr>
              <w:spacing w:line="288" w:lineRule="auto"/>
            </w:pPr>
            <w:r>
              <w:rPr>
                <w:rFonts w:hint="eastAsia"/>
              </w:rPr>
              <w:t>第五章  临床医疗相关法律问题</w:t>
            </w:r>
          </w:p>
        </w:tc>
        <w:tc>
          <w:tcPr>
            <w:tcW w:w="2268" w:type="dxa"/>
            <w:noWrap/>
            <w:vAlign w:val="center"/>
          </w:tcPr>
          <w:p>
            <w:pPr>
              <w:spacing w:line="288" w:lineRule="auto"/>
              <w:jc w:val="center"/>
              <w:rPr>
                <w:b/>
                <w:bCs/>
              </w:rPr>
            </w:pPr>
            <w:r>
              <w:rPr>
                <w:rFonts w:hint="eastAsia"/>
                <w:b/>
                <w:bCs/>
              </w:rPr>
              <w:t>1.5</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207" w:type="dxa"/>
            <w:noWrap/>
            <w:vAlign w:val="center"/>
          </w:tcPr>
          <w:p>
            <w:pPr>
              <w:spacing w:line="288" w:lineRule="auto"/>
              <w:jc w:val="center"/>
              <w:rPr>
                <w:b/>
              </w:rPr>
            </w:pPr>
            <w:r>
              <w:rPr>
                <w:rFonts w:hint="eastAsia"/>
                <w:b/>
              </w:rPr>
              <w:t>6</w:t>
            </w:r>
          </w:p>
        </w:tc>
        <w:tc>
          <w:tcPr>
            <w:tcW w:w="4997" w:type="dxa"/>
            <w:noWrap/>
            <w:vAlign w:val="center"/>
          </w:tcPr>
          <w:p>
            <w:pPr>
              <w:spacing w:line="288" w:lineRule="auto"/>
            </w:pPr>
            <w:r>
              <w:rPr>
                <w:rFonts w:hint="eastAsia"/>
              </w:rPr>
              <w:t>第六章  医疗文书的法律问题</w:t>
            </w:r>
          </w:p>
        </w:tc>
        <w:tc>
          <w:tcPr>
            <w:tcW w:w="2268" w:type="dxa"/>
            <w:noWrap/>
            <w:vAlign w:val="center"/>
          </w:tcPr>
          <w:p>
            <w:pPr>
              <w:spacing w:line="288" w:lineRule="auto"/>
              <w:jc w:val="center"/>
              <w:rPr>
                <w:b/>
                <w:bCs/>
              </w:rPr>
            </w:pPr>
            <w:r>
              <w:rPr>
                <w:rFonts w:hint="eastAsia"/>
                <w:b/>
                <w:bCs/>
              </w:rPr>
              <w:t>1</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07" w:type="dxa"/>
            <w:noWrap/>
            <w:vAlign w:val="center"/>
          </w:tcPr>
          <w:p>
            <w:pPr>
              <w:spacing w:line="288" w:lineRule="auto"/>
              <w:jc w:val="center"/>
              <w:rPr>
                <w:b/>
              </w:rPr>
            </w:pPr>
            <w:r>
              <w:rPr>
                <w:rFonts w:hint="eastAsia"/>
                <w:b/>
              </w:rPr>
              <w:t>7</w:t>
            </w:r>
          </w:p>
        </w:tc>
        <w:tc>
          <w:tcPr>
            <w:tcW w:w="4997" w:type="dxa"/>
            <w:noWrap/>
            <w:vAlign w:val="center"/>
          </w:tcPr>
          <w:p>
            <w:pPr>
              <w:spacing w:line="288" w:lineRule="auto"/>
            </w:pPr>
            <w:r>
              <w:rPr>
                <w:rFonts w:hint="eastAsia"/>
              </w:rPr>
              <w:t>第七章  医疗损害责任与免责事由</w:t>
            </w:r>
          </w:p>
        </w:tc>
        <w:tc>
          <w:tcPr>
            <w:tcW w:w="2268" w:type="dxa"/>
            <w:noWrap/>
            <w:vAlign w:val="center"/>
          </w:tcPr>
          <w:p>
            <w:pPr>
              <w:spacing w:line="288" w:lineRule="auto"/>
              <w:jc w:val="center"/>
              <w:rPr>
                <w:b/>
                <w:bCs/>
              </w:rPr>
            </w:pPr>
            <w:r>
              <w:rPr>
                <w:rFonts w:hint="eastAsia"/>
                <w:b/>
                <w:bCs/>
              </w:rPr>
              <w:t>2</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noWrap/>
            <w:vAlign w:val="center"/>
          </w:tcPr>
          <w:p>
            <w:pPr>
              <w:spacing w:line="288" w:lineRule="auto"/>
              <w:jc w:val="center"/>
              <w:rPr>
                <w:b/>
              </w:rPr>
            </w:pPr>
            <w:r>
              <w:rPr>
                <w:rFonts w:hint="eastAsia"/>
                <w:b/>
              </w:rPr>
              <w:t>8</w:t>
            </w:r>
          </w:p>
        </w:tc>
        <w:tc>
          <w:tcPr>
            <w:tcW w:w="4997" w:type="dxa"/>
            <w:noWrap/>
            <w:vAlign w:val="center"/>
          </w:tcPr>
          <w:p>
            <w:pPr>
              <w:spacing w:line="288" w:lineRule="auto"/>
            </w:pPr>
            <w:r>
              <w:rPr>
                <w:rFonts w:hint="eastAsia"/>
              </w:rPr>
              <w:t>第八章  医疗技术准入法律制度</w:t>
            </w:r>
          </w:p>
        </w:tc>
        <w:tc>
          <w:tcPr>
            <w:tcW w:w="2268" w:type="dxa"/>
            <w:noWrap/>
            <w:vAlign w:val="center"/>
          </w:tcPr>
          <w:p>
            <w:pPr>
              <w:spacing w:line="288" w:lineRule="auto"/>
              <w:jc w:val="center"/>
              <w:rPr>
                <w:b/>
                <w:bCs/>
              </w:rPr>
            </w:pPr>
            <w:r>
              <w:rPr>
                <w:rFonts w:hint="eastAsia"/>
                <w:b/>
                <w:bCs/>
              </w:rPr>
              <w:t>0.5</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noWrap/>
            <w:vAlign w:val="center"/>
          </w:tcPr>
          <w:p>
            <w:pPr>
              <w:spacing w:line="288" w:lineRule="auto"/>
              <w:jc w:val="center"/>
              <w:rPr>
                <w:b/>
              </w:rPr>
            </w:pPr>
            <w:r>
              <w:rPr>
                <w:rFonts w:hint="eastAsia"/>
                <w:b/>
              </w:rPr>
              <w:t>9</w:t>
            </w:r>
          </w:p>
        </w:tc>
        <w:tc>
          <w:tcPr>
            <w:tcW w:w="4997" w:type="dxa"/>
            <w:noWrap/>
            <w:vAlign w:val="center"/>
          </w:tcPr>
          <w:p>
            <w:pPr>
              <w:spacing w:line="288" w:lineRule="auto"/>
            </w:pPr>
            <w:r>
              <w:rPr>
                <w:rFonts w:hint="eastAsia"/>
              </w:rPr>
              <w:t>第九章  医学发展面临的法律挑战</w:t>
            </w:r>
          </w:p>
        </w:tc>
        <w:tc>
          <w:tcPr>
            <w:tcW w:w="2268" w:type="dxa"/>
            <w:noWrap/>
            <w:vAlign w:val="center"/>
          </w:tcPr>
          <w:p>
            <w:pPr>
              <w:spacing w:line="288" w:lineRule="auto"/>
              <w:jc w:val="center"/>
              <w:rPr>
                <w:b/>
                <w:bCs/>
              </w:rPr>
            </w:pPr>
            <w:r>
              <w:rPr>
                <w:rFonts w:hint="eastAsia"/>
                <w:b/>
                <w:bCs/>
              </w:rPr>
              <w:t>2</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noWrap/>
            <w:vAlign w:val="center"/>
          </w:tcPr>
          <w:p>
            <w:pPr>
              <w:spacing w:line="288" w:lineRule="auto"/>
              <w:jc w:val="center"/>
              <w:rPr>
                <w:b/>
              </w:rPr>
            </w:pPr>
            <w:r>
              <w:rPr>
                <w:rFonts w:hint="eastAsia"/>
                <w:b/>
              </w:rPr>
              <w:t>10</w:t>
            </w:r>
          </w:p>
        </w:tc>
        <w:tc>
          <w:tcPr>
            <w:tcW w:w="4997" w:type="dxa"/>
            <w:noWrap/>
            <w:vAlign w:val="center"/>
          </w:tcPr>
          <w:p>
            <w:pPr>
              <w:spacing w:line="288" w:lineRule="auto"/>
            </w:pPr>
            <w:r>
              <w:rPr>
                <w:rFonts w:hint="eastAsia"/>
              </w:rPr>
              <w:t>第十章  医疗纠纷预防与处理法律制度</w:t>
            </w:r>
          </w:p>
        </w:tc>
        <w:tc>
          <w:tcPr>
            <w:tcW w:w="2268" w:type="dxa"/>
            <w:noWrap/>
            <w:vAlign w:val="center"/>
          </w:tcPr>
          <w:p>
            <w:pPr>
              <w:spacing w:line="288" w:lineRule="auto"/>
              <w:jc w:val="center"/>
              <w:rPr>
                <w:b/>
                <w:bCs/>
              </w:rPr>
            </w:pPr>
            <w:r>
              <w:rPr>
                <w:rFonts w:hint="eastAsia"/>
                <w:b/>
                <w:bCs/>
              </w:rPr>
              <w:t>1</w:t>
            </w:r>
          </w:p>
        </w:tc>
        <w:tc>
          <w:tcPr>
            <w:tcW w:w="2126" w:type="dxa"/>
            <w:noWrap/>
            <w:vAlign w:val="center"/>
          </w:tcPr>
          <w:p>
            <w:pPr>
              <w:spacing w:line="288" w:lineRule="auto"/>
              <w:jc w:val="center"/>
              <w:rPr>
                <w:rFonts w:hint="eastAsia" w:eastAsia="宋体"/>
                <w:b/>
                <w:bCs/>
                <w:lang w:val="en-US" w:eastAsia="zh-CN"/>
              </w:rPr>
            </w:pPr>
            <w:r>
              <w:rPr>
                <w:rFonts w:hint="eastAsia"/>
                <w:b/>
                <w:bCs/>
                <w:lang w:val="en-US" w:eastAsia="zh-CN"/>
              </w:rPr>
              <w:t>0</w:t>
            </w:r>
          </w:p>
        </w:tc>
        <w:tc>
          <w:tcPr>
            <w:tcW w:w="2977" w:type="dxa"/>
            <w:noWrap/>
            <w:vAlign w:val="center"/>
          </w:tcPr>
          <w:p>
            <w:pPr>
              <w:spacing w:line="288" w:lineRule="auto"/>
              <w:jc w:val="center"/>
              <w:rPr>
                <w:b/>
                <w:bCs/>
              </w:rPr>
            </w:pPr>
            <w:r>
              <w:rPr>
                <w:rFonts w:hint="eastAsia"/>
                <w:b/>
                <w:bC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07" w:type="dxa"/>
            <w:noWrap/>
            <w:vAlign w:val="center"/>
          </w:tcPr>
          <w:p>
            <w:pPr>
              <w:spacing w:line="288" w:lineRule="auto"/>
              <w:jc w:val="center"/>
              <w:rPr>
                <w:b/>
              </w:rPr>
            </w:pPr>
            <w:r>
              <w:rPr>
                <w:rFonts w:hint="eastAsia"/>
                <w:b/>
              </w:rPr>
              <w:t>总学时</w:t>
            </w:r>
          </w:p>
        </w:tc>
        <w:tc>
          <w:tcPr>
            <w:tcW w:w="4997" w:type="dxa"/>
            <w:noWrap/>
            <w:vAlign w:val="center"/>
          </w:tcPr>
          <w:p>
            <w:pPr>
              <w:spacing w:line="288" w:lineRule="auto"/>
            </w:pPr>
          </w:p>
        </w:tc>
        <w:tc>
          <w:tcPr>
            <w:tcW w:w="2268" w:type="dxa"/>
            <w:noWrap/>
            <w:vAlign w:val="center"/>
          </w:tcPr>
          <w:p>
            <w:pPr>
              <w:spacing w:line="288" w:lineRule="auto"/>
              <w:jc w:val="center"/>
              <w:rPr>
                <w:b/>
                <w:bCs/>
              </w:rPr>
            </w:pPr>
            <w:r>
              <w:rPr>
                <w:rFonts w:hint="eastAsia"/>
                <w:b/>
                <w:bCs/>
              </w:rPr>
              <w:t>16</w:t>
            </w:r>
          </w:p>
        </w:tc>
        <w:tc>
          <w:tcPr>
            <w:tcW w:w="2126" w:type="dxa"/>
            <w:noWrap/>
            <w:vAlign w:val="center"/>
          </w:tcPr>
          <w:p>
            <w:pPr>
              <w:spacing w:line="288" w:lineRule="auto"/>
              <w:jc w:val="center"/>
              <w:rPr>
                <w:b/>
                <w:bCs/>
              </w:rPr>
            </w:pPr>
            <w:r>
              <w:rPr>
                <w:rFonts w:hint="eastAsia"/>
                <w:b/>
                <w:bCs/>
              </w:rPr>
              <w:t>0</w:t>
            </w:r>
          </w:p>
        </w:tc>
        <w:tc>
          <w:tcPr>
            <w:tcW w:w="2977" w:type="dxa"/>
            <w:noWrap/>
            <w:vAlign w:val="center"/>
          </w:tcPr>
          <w:p>
            <w:pPr>
              <w:spacing w:line="288" w:lineRule="auto"/>
              <w:jc w:val="center"/>
              <w:rPr>
                <w:b/>
                <w:bCs/>
              </w:rPr>
            </w:pPr>
            <w:r>
              <w:rPr>
                <w:rFonts w:hint="eastAsia"/>
                <w:b/>
                <w:bCs/>
              </w:rPr>
              <w:t>0</w:t>
            </w:r>
          </w:p>
        </w:tc>
      </w:tr>
    </w:tbl>
    <w:p>
      <w:pPr>
        <w:spacing w:line="360" w:lineRule="auto"/>
        <w:ind w:firstLine="420" w:firstLineChars="200"/>
        <w:rPr>
          <w:bCs/>
          <w:szCs w:val="21"/>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tabs>
        <w:tab w:val="left" w:pos="4953"/>
      </w:tabs>
      <w:jc w:val="left"/>
      <w:rPr>
        <w:rFonts w:hint="eastAsia" w:eastAsia="宋体"/>
        <w:lang w:eastAsia="zh-CN"/>
      </w:rPr>
    </w:pPr>
    <w:r>
      <w:rPr>
        <w:rFonts w:hint="eastAsia"/>
        <w:lang w:eastAsia="zh-CN"/>
      </w:rPr>
      <w:tab/>
    </w: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F024F1"/>
    <w:rsid w:val="00176DC6"/>
    <w:rsid w:val="001F6CC1"/>
    <w:rsid w:val="003467C1"/>
    <w:rsid w:val="00AB45C0"/>
    <w:rsid w:val="00B6781E"/>
    <w:rsid w:val="00D9743F"/>
    <w:rsid w:val="00EB78A8"/>
    <w:rsid w:val="00F024F1"/>
    <w:rsid w:val="06C854C0"/>
    <w:rsid w:val="07E97C98"/>
    <w:rsid w:val="0B291CB1"/>
    <w:rsid w:val="0E953034"/>
    <w:rsid w:val="0EE228A3"/>
    <w:rsid w:val="0F1B5A2C"/>
    <w:rsid w:val="0F1F489E"/>
    <w:rsid w:val="1888270D"/>
    <w:rsid w:val="1EF328AA"/>
    <w:rsid w:val="20251C09"/>
    <w:rsid w:val="20F55C78"/>
    <w:rsid w:val="21105A5C"/>
    <w:rsid w:val="2668592C"/>
    <w:rsid w:val="26B537A3"/>
    <w:rsid w:val="285B613F"/>
    <w:rsid w:val="3D3314FC"/>
    <w:rsid w:val="41F32680"/>
    <w:rsid w:val="4D553FE3"/>
    <w:rsid w:val="4E376EAD"/>
    <w:rsid w:val="50D8625D"/>
    <w:rsid w:val="53CB1124"/>
    <w:rsid w:val="55317EBF"/>
    <w:rsid w:val="566D3D64"/>
    <w:rsid w:val="56CC7BF1"/>
    <w:rsid w:val="5845288D"/>
    <w:rsid w:val="5EEA1CED"/>
    <w:rsid w:val="604834F4"/>
    <w:rsid w:val="6602429A"/>
    <w:rsid w:val="67540341"/>
    <w:rsid w:val="6F435BBB"/>
    <w:rsid w:val="70073CA2"/>
    <w:rsid w:val="70860455"/>
    <w:rsid w:val="733F4795"/>
    <w:rsid w:val="73AD4497"/>
    <w:rsid w:val="75A1234A"/>
    <w:rsid w:val="75D2409F"/>
    <w:rsid w:val="76203984"/>
    <w:rsid w:val="775543B1"/>
    <w:rsid w:val="77A7780B"/>
    <w:rsid w:val="78FA19E0"/>
    <w:rsid w:val="7AF35895"/>
    <w:rsid w:val="7BE956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qFormat/>
    <w:uiPriority w:val="0"/>
    <w:rPr>
      <w:sz w:val="18"/>
      <w:szCs w:val="18"/>
    </w:rPr>
  </w:style>
  <w:style w:type="paragraph" w:styleId="3">
    <w:name w:val="footer"/>
    <w:basedOn w:val="1"/>
    <w:autoRedefine/>
    <w:qFormat/>
    <w:uiPriority w:val="99"/>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 w:type="character" w:customStyle="1" w:styleId="8">
    <w:name w:val="页眉 Char"/>
    <w:basedOn w:val="6"/>
    <w:link w:val="4"/>
    <w:autoRedefine/>
    <w:qFormat/>
    <w:uiPriority w:val="0"/>
    <w:rPr>
      <w:rFonts w:ascii="Times New Roman" w:hAnsi="Times New Roman" w:eastAsia="宋体" w:cs="Times New Roman"/>
      <w:kern w:val="2"/>
      <w:sz w:val="18"/>
      <w:szCs w:val="18"/>
    </w:rPr>
  </w:style>
  <w:style w:type="character" w:customStyle="1" w:styleId="9">
    <w:name w:val="批注框文本 Char"/>
    <w:basedOn w:val="6"/>
    <w:link w:val="2"/>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367</Words>
  <Characters>2098</Characters>
  <Lines>17</Lines>
  <Paragraphs>4</Paragraphs>
  <TotalTime>1</TotalTime>
  <ScaleCrop>false</ScaleCrop>
  <LinksUpToDate>false</LinksUpToDate>
  <CharactersWithSpaces>2461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2023-11-22T07:14:00Z</dcterms:created>
  <dc:creator>LENOVO</dc:creator>
  <cp:lastModifiedBy>栖园</cp:lastModifiedBy>
  <cp:lastPrinted>2024-03-20T08:47:00Z</cp:lastPrinted>
  <dcterms:modified xsi:type="dcterms:W3CDTF">2024-04-12T09:46:48Z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E26CFB1897164A15B4E3C09C1959624E_12</vt:lpwstr>
  </property>
</Properties>
</file>